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0734B7">
        <w:fldChar w:fldCharType="begin"/>
      </w:r>
      <w:r w:rsidR="000734B7">
        <w:instrText xml:space="preserve"> REF _Ref368314103 \r \h  \* MERGEFORMAT </w:instrText>
      </w:r>
      <w:r w:rsidR="000734B7">
        <w:fldChar w:fldCharType="separate"/>
      </w:r>
      <w:r w:rsidR="00D95163">
        <w:t>1</w:t>
      </w:r>
      <w:r w:rsidR="000734B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F71D87">
        <w:fldChar w:fldCharType="begin"/>
      </w:r>
      <w:r>
        <w:instrText xml:space="preserve"> REF _Ref378108959 \r \h </w:instrText>
      </w:r>
      <w:r w:rsidR="00F71D87">
        <w:fldChar w:fldCharType="separate"/>
      </w:r>
      <w:r w:rsidR="00D95163">
        <w:t>3</w:t>
      </w:r>
      <w:r w:rsidR="00F71D8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0734B7">
        <w:fldChar w:fldCharType="begin"/>
      </w:r>
      <w:r w:rsidR="000734B7">
        <w:instrText xml:space="preserve"> REF _Ref368315592 \r \h  \* MERGEFORMAT </w:instrText>
      </w:r>
      <w:r w:rsidR="000734B7">
        <w:fldChar w:fldCharType="separate"/>
      </w:r>
      <w:r w:rsidR="00D95163" w:rsidRPr="00D95163">
        <w:rPr>
          <w:bCs w:val="0"/>
          <w:szCs w:val="24"/>
        </w:rPr>
        <w:t>13</w:t>
      </w:r>
      <w:r w:rsidR="000734B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B149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01B5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Ответственн</w:t>
            </w:r>
            <w:r w:rsidR="00552448">
              <w:rPr>
                <w:rFonts w:eastAsia="Calibri"/>
                <w:bCs/>
                <w:color w:val="000000"/>
              </w:rPr>
              <w:t>ые</w:t>
            </w:r>
            <w:r w:rsidRPr="009A60AD">
              <w:rPr>
                <w:rFonts w:eastAsia="Calibri"/>
                <w:bCs/>
                <w:color w:val="000000"/>
              </w:rPr>
              <w:t xml:space="preserve"> лиц</w:t>
            </w:r>
            <w:r w:rsidR="00552448">
              <w:rPr>
                <w:rFonts w:eastAsia="Calibri"/>
                <w:bCs/>
                <w:color w:val="000000"/>
              </w:rPr>
              <w:t>а</w:t>
            </w:r>
            <w:r w:rsidRPr="009A60AD">
              <w:rPr>
                <w:rFonts w:eastAsia="Calibri"/>
                <w:bCs/>
                <w:color w:val="000000"/>
              </w:rPr>
              <w:t xml:space="preserve">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FE315B" w:rsidRPr="007C62F8" w:rsidRDefault="00FE315B" w:rsidP="00FE315B">
            <w:pPr>
              <w:autoSpaceDE w:val="0"/>
              <w:autoSpaceDN w:val="0"/>
              <w:adjustRightInd w:val="0"/>
              <w:jc w:val="both"/>
              <w:rPr>
                <w:rFonts w:eastAsia="Calibri"/>
                <w:bCs/>
                <w:color w:val="000000"/>
              </w:rPr>
            </w:pPr>
            <w:r>
              <w:rPr>
                <w:rFonts w:eastAsia="Calibri"/>
              </w:rPr>
              <w:t>Фатихов Ильдус Ирекович</w:t>
            </w:r>
          </w:p>
          <w:p w:rsidR="0014229A" w:rsidRPr="00494E99" w:rsidRDefault="00FE315B" w:rsidP="00FE315B">
            <w:pPr>
              <w:pStyle w:val="Default"/>
            </w:pPr>
            <w:r w:rsidRPr="009F5A7A">
              <w:rPr>
                <w:bCs/>
              </w:rPr>
              <w:t>тел</w:t>
            </w:r>
            <w:r w:rsidRPr="00494E99">
              <w:rPr>
                <w:bCs/>
              </w:rPr>
              <w:t xml:space="preserve">. + 7 </w:t>
            </w:r>
            <w:r w:rsidRPr="00494E99">
              <w:rPr>
                <w:lang w:eastAsia="ru-RU"/>
              </w:rPr>
              <w:t xml:space="preserve">(347) 221-59-22,  </w:t>
            </w:r>
            <w:r w:rsidRPr="009F5A7A">
              <w:rPr>
                <w:bCs/>
                <w:lang w:val="en-US"/>
              </w:rPr>
              <w:t>e</w:t>
            </w:r>
            <w:r w:rsidRPr="00494E99">
              <w:rPr>
                <w:bCs/>
              </w:rPr>
              <w:t>-</w:t>
            </w:r>
            <w:r w:rsidRPr="009F5A7A">
              <w:rPr>
                <w:bCs/>
                <w:lang w:val="en-US"/>
              </w:rPr>
              <w:t>mail</w:t>
            </w:r>
            <w:r w:rsidRPr="00494E99">
              <w:rPr>
                <w:bCs/>
              </w:rPr>
              <w:t>:</w:t>
            </w:r>
            <w:r w:rsidRPr="00494E99">
              <w:rPr>
                <w:rFonts w:eastAsia="Times New Roman"/>
                <w:color w:val="777777"/>
                <w:lang w:eastAsia="ru-RU"/>
              </w:rPr>
              <w:t xml:space="preserve"> </w:t>
            </w:r>
            <w:hyperlink r:id="rId17" w:history="1">
              <w:r w:rsidRPr="00385F08">
                <w:rPr>
                  <w:rStyle w:val="a3"/>
                  <w:lang w:val="en-US"/>
                </w:rPr>
                <w:t>i</w:t>
              </w:r>
              <w:r w:rsidRPr="00494E99">
                <w:rPr>
                  <w:rStyle w:val="a3"/>
                </w:rPr>
                <w:t>.</w:t>
              </w:r>
              <w:r w:rsidRPr="00385F08">
                <w:rPr>
                  <w:rStyle w:val="a3"/>
                  <w:lang w:val="en-US"/>
                </w:rPr>
                <w:t>fatikhov</w:t>
              </w:r>
              <w:r w:rsidRPr="00494E99">
                <w:rPr>
                  <w:rStyle w:val="a3"/>
                </w:rPr>
                <w:t>@</w:t>
              </w:r>
              <w:r w:rsidRPr="00385F08">
                <w:rPr>
                  <w:rStyle w:val="a3"/>
                  <w:lang w:val="en-US"/>
                </w:rPr>
                <w:t>bashtel</w:t>
              </w:r>
              <w:r w:rsidRPr="00494E99">
                <w:rPr>
                  <w:rStyle w:val="a3"/>
                </w:rPr>
                <w:t>.</w:t>
              </w:r>
              <w:r w:rsidRPr="00385F08">
                <w:rPr>
                  <w:rStyle w:val="a3"/>
                  <w:lang w:val="en-US"/>
                </w:rPr>
                <w:t>ru</w:t>
              </w:r>
            </w:hyperlink>
          </w:p>
        </w:tc>
      </w:tr>
      <w:tr w:rsidR="00FE315B"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FE315B" w:rsidRPr="00494E99" w:rsidRDefault="00FE315B"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15B" w:rsidRPr="007643B9" w:rsidRDefault="00FE315B"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FE315B" w:rsidRPr="0055517D" w:rsidRDefault="00FE315B" w:rsidP="00FE315B">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FE315B" w:rsidRPr="0055517D" w:rsidRDefault="00FE315B" w:rsidP="00FE315B">
            <w:pPr>
              <w:pStyle w:val="Default"/>
              <w:rPr>
                <w:bCs/>
              </w:rPr>
            </w:pPr>
          </w:p>
        </w:tc>
      </w:tr>
      <w:tr w:rsidR="00FE315B"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FE315B" w:rsidRPr="007C6F21" w:rsidRDefault="00FE315B"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E315B" w:rsidRPr="005C24A0" w:rsidRDefault="00FE315B"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315B" w:rsidRPr="0055517D" w:rsidRDefault="00FE315B" w:rsidP="002F3908">
            <w:r w:rsidRPr="0055517D">
              <w:rPr>
                <w:bCs/>
              </w:rPr>
              <w:t xml:space="preserve">не </w:t>
            </w:r>
            <w:r w:rsidR="00B74439">
              <w:rPr>
                <w:bCs/>
              </w:rPr>
              <w:t>допуска</w:t>
            </w:r>
            <w:r w:rsidR="002F3908">
              <w:rPr>
                <w:bCs/>
              </w:rPr>
              <w:t>е</w:t>
            </w:r>
            <w:r w:rsidR="00B74439">
              <w:rPr>
                <w:bCs/>
              </w:rPr>
              <w:t>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74439">
            <w:r>
              <w:t>«</w:t>
            </w:r>
            <w:r w:rsidR="00FE315B">
              <w:t>0</w:t>
            </w:r>
            <w:r w:rsidR="00B74439">
              <w:t>8</w:t>
            </w:r>
            <w:r w:rsidR="0014229A" w:rsidRPr="005C24A0">
              <w:t>»</w:t>
            </w:r>
            <w:r w:rsidR="000F4823">
              <w:rPr>
                <w:lang w:val="en-US"/>
              </w:rPr>
              <w:t xml:space="preserve"> </w:t>
            </w:r>
            <w:r w:rsidR="00552448">
              <w:t>ию</w:t>
            </w:r>
            <w:r w:rsidR="00FE315B">
              <w:t>л</w:t>
            </w:r>
            <w:r w:rsidR="00552448">
              <w:t>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E315B">
              <w:t>0</w:t>
            </w:r>
            <w:r w:rsidR="00B74439">
              <w:t>8</w:t>
            </w:r>
            <w:r w:rsidR="007C6F21" w:rsidRPr="005C24A0">
              <w:t>»</w:t>
            </w:r>
            <w:r w:rsidR="007C6F21" w:rsidRPr="007C6F21">
              <w:t xml:space="preserve"> </w:t>
            </w:r>
            <w:r w:rsidR="00552448">
              <w:t>ию</w:t>
            </w:r>
            <w:r w:rsidR="00FE315B">
              <w:t>л</w:t>
            </w:r>
            <w:r w:rsidR="00552448">
              <w:t>я</w:t>
            </w:r>
            <w:r w:rsidR="007C6F21">
              <w:t xml:space="preserve"> 2016</w:t>
            </w:r>
            <w:r w:rsidR="007C6F21" w:rsidRPr="005C24A0">
              <w:t xml:space="preserve"> </w:t>
            </w:r>
            <w:r w:rsidR="007C17D3">
              <w:t xml:space="preserve">  года </w:t>
            </w:r>
            <w:r w:rsidR="007C17D3">
              <w:lastRenderedPageBreak/>
              <w:t>в 1</w:t>
            </w:r>
            <w:r w:rsidR="00001DCD">
              <w:t>7</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E20D7">
            <w:r>
              <w:t>«</w:t>
            </w:r>
            <w:r w:rsidR="003E20D7">
              <w:t>2</w:t>
            </w:r>
            <w:r w:rsidR="00FE315B">
              <w:t>1</w:t>
            </w:r>
            <w:r w:rsidR="000F4823" w:rsidRPr="000F4823">
              <w:t xml:space="preserve">» </w:t>
            </w:r>
            <w:r w:rsidR="00552448">
              <w:t>ию</w:t>
            </w:r>
            <w:r w:rsidR="00FE315B">
              <w:t>л</w:t>
            </w:r>
            <w:r w:rsidR="00552448">
              <w:t>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8C0E8C">
            <w:pPr>
              <w:rPr>
                <w:highlight w:val="lightGray"/>
              </w:rPr>
            </w:pPr>
            <w:r>
              <w:rPr>
                <w:iCs/>
              </w:rPr>
              <w:t>«</w:t>
            </w:r>
            <w:r w:rsidR="008C0E8C">
              <w:rPr>
                <w:iCs/>
              </w:rPr>
              <w:t>2</w:t>
            </w:r>
            <w:r w:rsidR="00FE315B">
              <w:rPr>
                <w:iCs/>
              </w:rPr>
              <w:t>1</w:t>
            </w:r>
            <w:r w:rsidR="000F4823" w:rsidRPr="000F4823">
              <w:rPr>
                <w:iCs/>
              </w:rPr>
              <w:t xml:space="preserve">» </w:t>
            </w:r>
            <w:r w:rsidR="00552448">
              <w:rPr>
                <w:rFonts w:eastAsia="Calibri"/>
                <w:iCs/>
                <w:color w:val="000000"/>
              </w:rPr>
              <w:t>ию</w:t>
            </w:r>
            <w:r w:rsidR="00FE315B">
              <w:rPr>
                <w:rFonts w:eastAsia="Calibri"/>
                <w:iCs/>
                <w:color w:val="000000"/>
              </w:rPr>
              <w:t>л</w:t>
            </w:r>
            <w:r w:rsidR="00552448">
              <w:rPr>
                <w:rFonts w:eastAsia="Calibri"/>
                <w:iCs/>
                <w:color w:val="000000"/>
              </w:rPr>
              <w:t>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5163" w:rsidRPr="00D95163" w:rsidRDefault="00D95163" w:rsidP="00D95163">
            <w:r w:rsidRPr="00D95163">
              <w:rPr>
                <w:b/>
              </w:rPr>
              <w:t>Рассмотрение Заявок</w:t>
            </w:r>
            <w:r w:rsidRPr="00D95163">
              <w:t>: «25» июля</w:t>
            </w:r>
            <w:r w:rsidRPr="00D95163">
              <w:rPr>
                <w:rFonts w:eastAsia="Calibri"/>
                <w:iCs/>
                <w:color w:val="000000"/>
                <w:lang w:eastAsia="en-US"/>
              </w:rPr>
              <w:t xml:space="preserve"> 2016 года</w:t>
            </w:r>
            <w:r w:rsidRPr="00D95163">
              <w:t xml:space="preserve"> в 14 часов 00 минут по местному времени </w:t>
            </w:r>
          </w:p>
          <w:p w:rsidR="00D95163" w:rsidRPr="00D95163" w:rsidRDefault="00D95163" w:rsidP="00D95163">
            <w:pPr>
              <w:rPr>
                <w:sz w:val="10"/>
                <w:szCs w:val="10"/>
              </w:rPr>
            </w:pPr>
          </w:p>
          <w:p w:rsidR="00D95163" w:rsidRPr="00D95163" w:rsidRDefault="00D95163" w:rsidP="00D95163">
            <w:r w:rsidRPr="00D95163">
              <w:rPr>
                <w:b/>
              </w:rPr>
              <w:t>Оценка и сопоставление Заявок</w:t>
            </w:r>
            <w:r w:rsidRPr="00D95163">
              <w:t>: «25» июля</w:t>
            </w:r>
            <w:r w:rsidRPr="00D95163">
              <w:rPr>
                <w:rFonts w:eastAsia="Calibri"/>
                <w:iCs/>
                <w:color w:val="000000"/>
                <w:lang w:eastAsia="en-US"/>
              </w:rPr>
              <w:t xml:space="preserve"> 2016 года </w:t>
            </w:r>
            <w:r w:rsidRPr="00D95163">
              <w:t>в 16 часов 00 минут по местному времени</w:t>
            </w:r>
          </w:p>
          <w:p w:rsidR="00D95163" w:rsidRPr="00D95163" w:rsidRDefault="00D95163" w:rsidP="00D95163">
            <w:pPr>
              <w:rPr>
                <w:sz w:val="10"/>
                <w:szCs w:val="10"/>
              </w:rPr>
            </w:pPr>
          </w:p>
          <w:p w:rsidR="00D95163" w:rsidRPr="00D95163" w:rsidRDefault="00D95163" w:rsidP="00D95163">
            <w:r w:rsidRPr="00D95163">
              <w:rPr>
                <w:b/>
              </w:rPr>
              <w:t>Подведение итогов закупки</w:t>
            </w:r>
            <w:r w:rsidRPr="00D95163">
              <w:t xml:space="preserve">: не позднее «31» </w:t>
            </w:r>
            <w:r w:rsidRPr="00D95163">
              <w:rPr>
                <w:rFonts w:eastAsia="Calibri"/>
                <w:iCs/>
                <w:color w:val="000000"/>
                <w:lang w:eastAsia="en-US"/>
              </w:rPr>
              <w:t xml:space="preserve">июля 2016 </w:t>
            </w:r>
            <w:r w:rsidRPr="00D95163">
              <w:t xml:space="preserve">года </w:t>
            </w:r>
          </w:p>
          <w:p w:rsidR="00D95163" w:rsidRDefault="00D95163" w:rsidP="000F4823">
            <w:pPr>
              <w:rPr>
                <w:rFonts w:eastAsia="Calibri"/>
                <w:color w:val="00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315B" w:rsidRPr="005D4D4D" w:rsidRDefault="00FE315B" w:rsidP="00FE315B">
            <w:pPr>
              <w:rPr>
                <w:b/>
              </w:rPr>
            </w:pPr>
            <w:r w:rsidRPr="005D4D4D">
              <w:rPr>
                <w:b/>
              </w:rPr>
              <w:t xml:space="preserve">Проведение работ по поставке оборудования СКС, ВОЛС, монтажу и пусконаладочным работам корпоративной инфраструктуры инфокоммуникаций. </w:t>
            </w:r>
          </w:p>
          <w:p w:rsidR="0014229A" w:rsidRPr="00227C39" w:rsidRDefault="00FE315B" w:rsidP="00FE315B">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sidR="000734B7">
              <w:rPr>
                <w:rFonts w:eastAsia="Times New Roman"/>
                <w:lang w:eastAsia="ru-RU"/>
              </w:rPr>
              <w:t xml:space="preserve">товару,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w:t>
            </w:r>
            <w:r w:rsidR="000734B7">
              <w:rPr>
                <w:rFonts w:eastAsia="Times New Roman"/>
                <w:lang w:eastAsia="ru-RU"/>
              </w:rPr>
              <w:t>.1.</w:t>
            </w:r>
            <w:r>
              <w:rPr>
                <w:rFonts w:eastAsia="Times New Roman"/>
                <w:lang w:eastAsia="ru-RU"/>
              </w:rPr>
              <w:t xml:space="preserve"> </w:t>
            </w:r>
            <w:r w:rsidRPr="007D0443">
              <w:rPr>
                <w:rFonts w:eastAsia="Times New Roman"/>
                <w:lang w:eastAsia="ru-RU"/>
              </w:rPr>
              <w:t>к Документации о закупке)</w:t>
            </w:r>
            <w:r w:rsidR="000734B7">
              <w:rPr>
                <w:rFonts w:eastAsia="Times New Roman"/>
                <w:lang w:eastAsia="ru-RU"/>
              </w:rPr>
              <w:t>, Спецификацией (</w:t>
            </w:r>
            <w:r w:rsidR="000734B7" w:rsidRPr="00972152">
              <w:t>Приложение №</w:t>
            </w:r>
            <w:r w:rsidR="000734B7">
              <w:t xml:space="preserve">1.2 </w:t>
            </w:r>
            <w:r w:rsidR="000734B7" w:rsidRPr="00FC20A7">
              <w:t>к Документации о закупке</w:t>
            </w:r>
            <w:r w:rsidR="000734B7" w:rsidRPr="00972152">
              <w:t>)</w:t>
            </w:r>
            <w:r>
              <w:rPr>
                <w:rFonts w:eastAsia="Times New Roman"/>
                <w:lang w:eastAsia="ru-RU"/>
              </w:rPr>
              <w:t xml:space="preserve"> </w:t>
            </w:r>
            <w:r w:rsidRPr="007D0443">
              <w:rPr>
                <w:rFonts w:eastAsia="Times New Roman"/>
                <w:lang w:eastAsia="ru-RU"/>
              </w:rPr>
              <w:t xml:space="preserve">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734B7" w:rsidP="00552448">
            <w:pPr>
              <w:jc w:val="both"/>
            </w:pPr>
            <w:r>
              <w:lastRenderedPageBreak/>
              <w:t xml:space="preserve">Поставляемый товар, выполняемые </w:t>
            </w:r>
            <w:r w:rsidR="00F71B15">
              <w:t xml:space="preserve">работы должны соответствовать требованиям, указанным в </w:t>
            </w:r>
            <w:r w:rsidR="00552448">
              <w:t xml:space="preserve">Техническом задании </w:t>
            </w:r>
            <w:r w:rsidRPr="000734B7">
              <w:t>(Приложение №1.1. к Документации о закупке), Спецификацией (Приложение №1.2 к Документации о закупке)</w:t>
            </w:r>
            <w:r w:rsidR="00552448">
              <w:t xml:space="preserve"> и проекте договора (Приложение №</w:t>
            </w:r>
            <w:r w:rsidR="00F71B15">
              <w:t xml:space="preserve">2 </w:t>
            </w:r>
            <w:r w:rsidR="00F71B15" w:rsidRPr="00972152">
              <w:t xml:space="preserve">к </w:t>
            </w:r>
            <w:r w:rsidR="00F71B15" w:rsidRPr="00FC20A7">
              <w:t>Документации о закупке</w:t>
            </w:r>
            <w:r w:rsidR="00552448">
              <w:t>)</w:t>
            </w:r>
            <w:r w:rsidR="00F71B15">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315B" w:rsidRPr="004A7F1E" w:rsidRDefault="00FE315B" w:rsidP="00FE315B">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w:t>
            </w:r>
            <w:r w:rsidR="00B74439">
              <w:rPr>
                <w:rFonts w:eastAsia="Calibri"/>
                <w:iCs/>
                <w:color w:val="000000"/>
              </w:rPr>
              <w:t xml:space="preserve">товара, </w:t>
            </w:r>
            <w:r w:rsidRPr="009F6C3C">
              <w:rPr>
                <w:rFonts w:eastAsia="Calibri"/>
                <w:iCs/>
                <w:color w:val="000000"/>
              </w:rPr>
              <w:t xml:space="preserve">работ </w:t>
            </w:r>
            <w:r w:rsidRPr="00C24FB7">
              <w:rPr>
                <w:rFonts w:eastAsia="Calibri"/>
                <w:iCs/>
                <w:color w:val="000000"/>
              </w:rPr>
              <w:t xml:space="preserve"> </w:t>
            </w:r>
            <w:r>
              <w:rPr>
                <w:rFonts w:eastAsia="Calibri"/>
                <w:iCs/>
                <w:color w:val="000000"/>
              </w:rPr>
              <w:t>составляет 8 170 491,57</w:t>
            </w:r>
            <w:r w:rsidRPr="004A7F1E">
              <w:rPr>
                <w:rFonts w:eastAsia="Calibri"/>
                <w:iCs/>
                <w:color w:val="000000"/>
              </w:rPr>
              <w:t xml:space="preserve"> рублей с НДС, в том числе сумма НДС18% </w:t>
            </w:r>
            <w:r>
              <w:rPr>
                <w:rFonts w:eastAsia="Calibri"/>
                <w:iCs/>
                <w:color w:val="000000"/>
              </w:rPr>
              <w:t>1 246 346,17</w:t>
            </w:r>
            <w:r w:rsidRPr="004A7F1E">
              <w:rPr>
                <w:rFonts w:eastAsia="Calibri"/>
                <w:iCs/>
                <w:color w:val="000000"/>
              </w:rPr>
              <w:t xml:space="preserve"> рублей.</w:t>
            </w:r>
          </w:p>
          <w:p w:rsidR="00FE315B" w:rsidRPr="004A7F1E" w:rsidRDefault="00FE315B" w:rsidP="00FE315B">
            <w:pPr>
              <w:autoSpaceDE w:val="0"/>
              <w:autoSpaceDN w:val="0"/>
              <w:adjustRightInd w:val="0"/>
              <w:jc w:val="both"/>
              <w:rPr>
                <w:rFonts w:eastAsia="Calibri"/>
                <w:iCs/>
                <w:color w:val="000000"/>
              </w:rPr>
            </w:pPr>
            <w:r w:rsidRPr="004A7F1E">
              <w:rPr>
                <w:rFonts w:eastAsia="Calibri"/>
                <w:iCs/>
                <w:color w:val="000000"/>
              </w:rPr>
              <w:t xml:space="preserve">Начальная (максимальная) стоимость </w:t>
            </w:r>
            <w:r w:rsidR="00B74439">
              <w:rPr>
                <w:rFonts w:eastAsia="Calibri"/>
                <w:iCs/>
                <w:color w:val="000000"/>
              </w:rPr>
              <w:t xml:space="preserve">товара, </w:t>
            </w:r>
            <w:r w:rsidRPr="004A7F1E">
              <w:rPr>
                <w:rFonts w:eastAsia="Calibri"/>
                <w:iCs/>
                <w:color w:val="000000"/>
              </w:rPr>
              <w:t xml:space="preserve">работ без НДС составляет </w:t>
            </w:r>
            <w:r>
              <w:rPr>
                <w:rFonts w:eastAsia="Calibri"/>
                <w:iCs/>
                <w:color w:val="000000"/>
              </w:rPr>
              <w:t xml:space="preserve">6 924 145 </w:t>
            </w:r>
            <w:r w:rsidRPr="004A7F1E">
              <w:rPr>
                <w:rFonts w:eastAsia="Calibri"/>
                <w:iCs/>
                <w:color w:val="000000"/>
              </w:rPr>
              <w:t xml:space="preserve"> (</w:t>
            </w:r>
            <w:r>
              <w:rPr>
                <w:rFonts w:eastAsia="Calibri"/>
                <w:iCs/>
                <w:color w:val="000000"/>
              </w:rPr>
              <w:t>Шесть</w:t>
            </w:r>
            <w:r w:rsidRPr="004A7F1E">
              <w:rPr>
                <w:rFonts w:eastAsia="Calibri"/>
                <w:iCs/>
                <w:color w:val="000000"/>
              </w:rPr>
              <w:t xml:space="preserve"> миллион</w:t>
            </w:r>
            <w:r>
              <w:rPr>
                <w:rFonts w:eastAsia="Calibri"/>
                <w:iCs/>
                <w:color w:val="000000"/>
              </w:rPr>
              <w:t>ов</w:t>
            </w:r>
            <w:r w:rsidRPr="004A7F1E">
              <w:rPr>
                <w:rFonts w:eastAsia="Calibri"/>
                <w:iCs/>
                <w:color w:val="000000"/>
              </w:rPr>
              <w:t xml:space="preserve"> </w:t>
            </w:r>
            <w:r>
              <w:rPr>
                <w:rFonts w:eastAsia="Calibri"/>
                <w:iCs/>
                <w:color w:val="000000"/>
              </w:rPr>
              <w:t>девятьсот двадцать четыре</w:t>
            </w:r>
            <w:r w:rsidRPr="004A7F1E">
              <w:rPr>
                <w:rFonts w:eastAsia="Calibri"/>
                <w:iCs/>
                <w:color w:val="000000"/>
              </w:rPr>
              <w:t xml:space="preserve"> тысяч</w:t>
            </w:r>
            <w:r>
              <w:rPr>
                <w:rFonts w:eastAsia="Calibri"/>
                <w:iCs/>
                <w:color w:val="000000"/>
              </w:rPr>
              <w:t>и</w:t>
            </w:r>
            <w:r w:rsidRPr="004A7F1E">
              <w:rPr>
                <w:rFonts w:eastAsia="Calibri"/>
                <w:iCs/>
                <w:color w:val="000000"/>
              </w:rPr>
              <w:t xml:space="preserve"> </w:t>
            </w:r>
            <w:r>
              <w:rPr>
                <w:rFonts w:eastAsia="Calibri"/>
                <w:iCs/>
                <w:color w:val="000000"/>
              </w:rPr>
              <w:t>сто сорок пять</w:t>
            </w:r>
            <w:r w:rsidRPr="004A7F1E">
              <w:rPr>
                <w:rFonts w:eastAsia="Calibri"/>
                <w:iCs/>
                <w:color w:val="000000"/>
              </w:rPr>
              <w:t>) рублей</w:t>
            </w:r>
            <w:r>
              <w:rPr>
                <w:rFonts w:eastAsia="Calibri"/>
                <w:iCs/>
                <w:color w:val="000000"/>
              </w:rPr>
              <w:t xml:space="preserve"> 40 копеек</w:t>
            </w:r>
            <w:r w:rsidRPr="004A7F1E">
              <w:rPr>
                <w:rFonts w:eastAsia="Calibri"/>
                <w:iCs/>
                <w:color w:val="000000"/>
              </w:rPr>
              <w:t xml:space="preserve">. </w:t>
            </w:r>
          </w:p>
          <w:p w:rsidR="00DE7630" w:rsidRPr="00AA5094" w:rsidRDefault="00FE315B" w:rsidP="00FE315B">
            <w:pPr>
              <w:autoSpaceDE w:val="0"/>
              <w:autoSpaceDN w:val="0"/>
              <w:adjustRightInd w:val="0"/>
              <w:jc w:val="both"/>
              <w:rPr>
                <w:iCs/>
              </w:rPr>
            </w:pPr>
            <w:r w:rsidRPr="004A7F1E">
              <w:rPr>
                <w:rFonts w:eastAsia="Calibri"/>
                <w:iCs/>
                <w:color w:val="000000"/>
              </w:rPr>
              <w:t>В случае если поставка товара</w:t>
            </w:r>
            <w:r w:rsidRPr="009F6C3C">
              <w:rPr>
                <w:rFonts w:eastAsia="Calibri"/>
                <w:iCs/>
                <w:color w:val="000000"/>
              </w:rPr>
              <w:t>,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w:t>
                  </w:r>
                  <w:bookmarkStart w:id="16" w:name="_GoBack"/>
                  <w:bookmarkEnd w:id="16"/>
                  <w:r w:rsidR="0014229A" w:rsidRPr="00561F9A">
                    <w:rPr>
                      <w:rFonts w:cs="Arial"/>
                      <w:color w:val="000000"/>
                    </w:rPr>
                    <w:t>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E50754" w:rsidRPr="00F84878" w:rsidTr="003B25CB">
              <w:tc>
                <w:tcPr>
                  <w:tcW w:w="3572" w:type="dxa"/>
                  <w:shd w:val="clear" w:color="auto" w:fill="auto"/>
                </w:tcPr>
                <w:p w:rsidR="00E50754" w:rsidRPr="00907996" w:rsidRDefault="00E50754" w:rsidP="000734B7">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50754" w:rsidRDefault="00E50754" w:rsidP="000734B7">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E50754" w:rsidRPr="00907996" w:rsidRDefault="00E50754" w:rsidP="000734B7">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F84878"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4E0BF0"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4E0BF0" w:rsidRDefault="00764E97" w:rsidP="005A6DC3">
                  <w:pPr>
                    <w:ind w:right="34"/>
                    <w:jc w:val="both"/>
                    <w:rPr>
                      <w:rFonts w:cs="Arial"/>
                      <w:color w:val="000000" w:themeColor="text1"/>
                    </w:rPr>
                  </w:pPr>
                  <w:r w:rsidRPr="004E0BF0">
                    <w:rPr>
                      <w:rFonts w:eastAsiaTheme="minorHAnsi"/>
                      <w:color w:val="000000" w:themeColor="text1"/>
                      <w:lang w:eastAsia="en-US"/>
                    </w:rPr>
                    <w:t xml:space="preserve"> В разделе </w:t>
                  </w:r>
                  <w:r w:rsidRPr="004E0BF0">
                    <w:rPr>
                      <w:rFonts w:eastAsiaTheme="minorHAnsi"/>
                      <w:color w:val="000000" w:themeColor="text1"/>
                      <w:lang w:val="en-US" w:eastAsia="en-US"/>
                    </w:rPr>
                    <w:t>III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r w:rsidR="00D95163">
                    <w:rPr>
                      <w:rFonts w:eastAsiaTheme="minorHAnsi"/>
                      <w:b/>
                      <w:color w:val="000000" w:themeColor="text1"/>
                      <w:lang w:eastAsia="en-US"/>
                    </w:rPr>
                    <w:t xml:space="preserve"> </w:t>
                  </w:r>
                  <w:r w:rsidR="00D95163" w:rsidRPr="00D95163">
                    <w:rPr>
                      <w:color w:val="000000"/>
                    </w:rPr>
                    <w:t>Перечня видов работ к Приказу Минрегионразвития РФ №624 от 30.12.2009г.</w:t>
                  </w:r>
                  <w:r w:rsidRPr="004E0BF0">
                    <w:rPr>
                      <w:rFonts w:eastAsiaTheme="minorHAnsi"/>
                      <w:b/>
                      <w:color w:val="000000" w:themeColor="text1"/>
                      <w:lang w:eastAsia="en-US"/>
                    </w:rPr>
                    <w:t>:</w:t>
                  </w:r>
                </w:p>
                <w:p w:rsid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 Подготовительные работы</w:t>
                  </w:r>
                </w:p>
                <w:p w:rsid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2.4. Установка и демонтаж инвентарных наружных и внутренних лесов, технологических мусоропроводов;</w:t>
                  </w:r>
                </w:p>
                <w:p w:rsidR="00B74439" w:rsidRP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10. Монтаж металлических конструкций</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10.5. Монтаж, усиление и демонтаж технологических конструкций;</w:t>
                  </w:r>
                </w:p>
                <w:p w:rsid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 xml:space="preserve">15. Устройство внутренних инженерных систем и </w:t>
                  </w:r>
                  <w:r w:rsidRPr="00B74439">
                    <w:rPr>
                      <w:rFonts w:ascii="Times New Roman" w:eastAsiaTheme="minorHAnsi" w:hAnsi="Times New Roman" w:cs="Times New Roman"/>
                      <w:sz w:val="24"/>
                      <w:szCs w:val="24"/>
                      <w:lang w:eastAsia="en-US"/>
                    </w:rPr>
                    <w:lastRenderedPageBreak/>
                    <w:t>оборудования зданий и сооружений</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15.5. Устройство системы электроснабжения;</w:t>
                  </w:r>
                </w:p>
                <w:p w:rsid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 xml:space="preserve">15.6. Устройство электрических и иных сетей управления системами жизнеобеспечения зданий и сооружений </w:t>
                  </w:r>
                </w:p>
                <w:p w:rsidR="00B74439" w:rsidRP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20. Устройство наружных электрических сетей и линий связи;</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20.13. Устройство наружных линий связи, в том числе телефонных, радио и телевидения;</w:t>
                  </w:r>
                </w:p>
                <w:p w:rsidR="00B74439" w:rsidRPr="00B74439" w:rsidRDefault="00B74439" w:rsidP="00B74439">
                  <w:pPr>
                    <w:autoSpaceDE w:val="0"/>
                    <w:autoSpaceDN w:val="0"/>
                    <w:adjustRightInd w:val="0"/>
                    <w:spacing w:before="120"/>
                    <w:jc w:val="both"/>
                    <w:outlineLvl w:val="0"/>
                    <w:rPr>
                      <w:rFonts w:eastAsiaTheme="minorHAnsi"/>
                      <w:lang w:eastAsia="en-US"/>
                    </w:rPr>
                  </w:pPr>
                  <w:r w:rsidRPr="00B74439">
                    <w:rPr>
                      <w:rFonts w:eastAsiaTheme="minorHAnsi"/>
                      <w:lang w:eastAsia="en-US"/>
                    </w:rPr>
                    <w:t>23. Монтажные работы</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23.6. Монтаж электротехнических установок, оборудования, систем автоматики и сигнализации;</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 xml:space="preserve">23.33. Монтаж оборудования сооружений связи </w:t>
                  </w:r>
                </w:p>
                <w:p w:rsidR="00B74439" w:rsidRDefault="00B74439" w:rsidP="00B74439">
                  <w:pPr>
                    <w:autoSpaceDE w:val="0"/>
                    <w:autoSpaceDN w:val="0"/>
                    <w:adjustRightInd w:val="0"/>
                    <w:spacing w:before="120"/>
                    <w:jc w:val="both"/>
                    <w:rPr>
                      <w:rFonts w:eastAsiaTheme="minorHAnsi"/>
                      <w:lang w:eastAsia="en-US"/>
                    </w:rPr>
                  </w:pPr>
                  <w:r w:rsidRPr="00B74439">
                    <w:rPr>
                      <w:rFonts w:eastAsiaTheme="minorHAnsi"/>
                      <w:lang w:eastAsia="en-US"/>
                    </w:rPr>
                    <w:t>24. Пусконаладочные работы</w:t>
                  </w:r>
                </w:p>
                <w:p w:rsidR="00764E97" w:rsidRPr="007727F3" w:rsidRDefault="00B74439" w:rsidP="00B74439">
                  <w:pPr>
                    <w:autoSpaceDE w:val="0"/>
                    <w:autoSpaceDN w:val="0"/>
                    <w:adjustRightInd w:val="0"/>
                    <w:ind w:firstLine="540"/>
                    <w:jc w:val="both"/>
                    <w:rPr>
                      <w:rFonts w:eastAsiaTheme="minorHAnsi"/>
                      <w:lang w:eastAsia="en-US"/>
                    </w:rPr>
                  </w:pPr>
                  <w:r w:rsidRPr="00B74439">
                    <w:rPr>
                      <w:rFonts w:eastAsiaTheme="minorHAnsi"/>
                      <w:lang w:eastAsia="en-US"/>
                    </w:rPr>
                    <w:t>24.5. Пусконаладочные работы коммутационных аппаратов;</w:t>
                  </w:r>
                </w:p>
              </w:tc>
            </w:tr>
            <w:tr w:rsidR="005A5788" w:rsidRPr="00F84878" w:rsidTr="005A6DC3">
              <w:tc>
                <w:tcPr>
                  <w:tcW w:w="3572" w:type="dxa"/>
                  <w:shd w:val="clear" w:color="auto" w:fill="auto"/>
                </w:tcPr>
                <w:p w:rsidR="005A5788" w:rsidRPr="00FE3EFC" w:rsidRDefault="005A5788" w:rsidP="00FE315B">
                  <w:pPr>
                    <w:tabs>
                      <w:tab w:val="left" w:pos="993"/>
                    </w:tabs>
                    <w:jc w:val="both"/>
                    <w:rPr>
                      <w:b/>
                    </w:rPr>
                  </w:pPr>
                  <w:r w:rsidRPr="00FE3EFC">
                    <w:rPr>
                      <w:b/>
                    </w:rPr>
                    <w:lastRenderedPageBreak/>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понимается: </w:t>
                  </w:r>
                </w:p>
                <w:p w:rsidR="005A5788" w:rsidRPr="00FE3EFC" w:rsidRDefault="005A5788" w:rsidP="00FE315B">
                  <w:pPr>
                    <w:pStyle w:val="affb"/>
                    <w:numPr>
                      <w:ilvl w:val="0"/>
                      <w:numId w:val="0"/>
                    </w:numPr>
                    <w:spacing w:line="240" w:lineRule="auto"/>
                    <w:ind w:firstLine="426"/>
                    <w:rPr>
                      <w:b/>
                      <w:sz w:val="24"/>
                      <w:szCs w:val="24"/>
                    </w:rPr>
                  </w:pPr>
                  <w:r>
                    <w:rPr>
                      <w:b/>
                      <w:sz w:val="24"/>
                      <w:szCs w:val="24"/>
                    </w:rPr>
                    <w:t xml:space="preserve"> -   </w:t>
                  </w:r>
                  <w:r w:rsidRPr="00FE3EFC">
                    <w:rPr>
                      <w:b/>
                      <w:sz w:val="24"/>
                      <w:szCs w:val="24"/>
                    </w:rPr>
                    <w:t>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A5788" w:rsidRPr="00FE3EFC" w:rsidRDefault="005A5788" w:rsidP="00FE315B">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827" w:type="dxa"/>
                  <w:shd w:val="clear" w:color="auto" w:fill="auto"/>
                </w:tcPr>
                <w:p w:rsidR="005A5788" w:rsidRPr="00FE3EFC" w:rsidRDefault="005A5788" w:rsidP="00FE315B">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 xml:space="preserve">Порядок оценки и </w:t>
            </w:r>
            <w:r w:rsidRPr="00D37E5A">
              <w:lastRenderedPageBreak/>
              <w:t>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1276"/>
              <w:gridCol w:w="3685"/>
            </w:tblGrid>
            <w:tr w:rsidR="0014229A" w:rsidTr="00A3542E">
              <w:tc>
                <w:tcPr>
                  <w:tcW w:w="2580"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1276" w:type="dxa"/>
                  <w:shd w:val="clear" w:color="auto" w:fill="auto"/>
                </w:tcPr>
                <w:p w:rsidR="0014229A" w:rsidRPr="00561F9A" w:rsidRDefault="0014229A" w:rsidP="003B25CB">
                  <w:pPr>
                    <w:pStyle w:val="a4"/>
                    <w:ind w:left="0"/>
                    <w:rPr>
                      <w:rFonts w:cs="Arial"/>
                      <w:color w:val="000000"/>
                    </w:rPr>
                  </w:pPr>
                  <w:r>
                    <w:rPr>
                      <w:rFonts w:cs="Arial"/>
                      <w:color w:val="000000"/>
                    </w:rPr>
                    <w:t xml:space="preserve">Величина </w:t>
                  </w:r>
                  <w:r>
                    <w:rPr>
                      <w:rFonts w:cs="Arial"/>
                      <w:color w:val="000000"/>
                    </w:rPr>
                    <w:lastRenderedPageBreak/>
                    <w:t>значимости критерия (</w:t>
                  </w:r>
                  <w:r w:rsidRPr="00561F9A">
                    <w:rPr>
                      <w:rFonts w:cs="Arial"/>
                      <w:color w:val="000000"/>
                    </w:rPr>
                    <w:t>Вес критери</w:t>
                  </w:r>
                  <w:r>
                    <w:rPr>
                      <w:rFonts w:cs="Arial"/>
                      <w:color w:val="000000"/>
                    </w:rPr>
                    <w:t>я)</w:t>
                  </w:r>
                </w:p>
              </w:tc>
              <w:tc>
                <w:tcPr>
                  <w:tcW w:w="3685"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 xml:space="preserve">Что конкретно оценивается </w:t>
                  </w:r>
                  <w:r w:rsidRPr="00561F9A">
                    <w:rPr>
                      <w:rFonts w:cs="Arial"/>
                      <w:color w:val="000000"/>
                    </w:rPr>
                    <w:lastRenderedPageBreak/>
                    <w:t>(показатели)</w:t>
                  </w:r>
                </w:p>
              </w:tc>
            </w:tr>
            <w:tr w:rsidR="00484150" w:rsidTr="00A3542E">
              <w:tc>
                <w:tcPr>
                  <w:tcW w:w="2580" w:type="dxa"/>
                  <w:shd w:val="clear" w:color="auto" w:fill="auto"/>
                </w:tcPr>
                <w:p w:rsidR="00484150" w:rsidRPr="00EE49A3" w:rsidRDefault="00484150" w:rsidP="00001DCD">
                  <w:r w:rsidRPr="00EE49A3">
                    <w:lastRenderedPageBreak/>
                    <w:t xml:space="preserve">Цена договора </w:t>
                  </w:r>
                </w:p>
              </w:tc>
              <w:tc>
                <w:tcPr>
                  <w:tcW w:w="1276" w:type="dxa"/>
                  <w:shd w:val="clear" w:color="auto" w:fill="auto"/>
                </w:tcPr>
                <w:p w:rsidR="00484150" w:rsidRPr="00EE49A3" w:rsidRDefault="00484150" w:rsidP="000A3989">
                  <w:r w:rsidRPr="00EE49A3">
                    <w:t>9</w:t>
                  </w:r>
                  <w:r w:rsidR="000A3989">
                    <w:t>3</w:t>
                  </w:r>
                  <w:r w:rsidRPr="00EE49A3">
                    <w:t xml:space="preserve"> %</w:t>
                  </w:r>
                </w:p>
              </w:tc>
              <w:tc>
                <w:tcPr>
                  <w:tcW w:w="3685" w:type="dxa"/>
                  <w:shd w:val="clear" w:color="auto" w:fill="auto"/>
                </w:tcPr>
                <w:p w:rsidR="00484150" w:rsidRDefault="00484150" w:rsidP="00B74439">
                  <w:r w:rsidRPr="00EE49A3">
                    <w:t>Оценивается предложение цены договора</w:t>
                  </w:r>
                  <w:r>
                    <w:t xml:space="preserve"> (стоимости </w:t>
                  </w:r>
                  <w:r w:rsidR="00B74439">
                    <w:t xml:space="preserve">товара, </w:t>
                  </w:r>
                  <w:r>
                    <w:t>работ</w:t>
                  </w:r>
                  <w:r w:rsidR="009A1B77">
                    <w:t>)</w:t>
                  </w:r>
                  <w:r w:rsidR="009A1B77" w:rsidRPr="00EE49A3">
                    <w:t>,</w:t>
                  </w:r>
                  <w:r w:rsidR="009A1B77">
                    <w:t xml:space="preserve"> </w:t>
                  </w:r>
                  <w:r w:rsidR="009A1B77" w:rsidRPr="00EE49A3">
                    <w:t>указанное</w:t>
                  </w:r>
                  <w:r w:rsidRPr="00EE49A3">
                    <w:t xml:space="preserve"> участником закупки в его заявке на участие в закупке</w:t>
                  </w:r>
                </w:p>
              </w:tc>
            </w:tr>
            <w:tr w:rsidR="00DD7F60" w:rsidTr="00A3542E">
              <w:trPr>
                <w:trHeight w:val="1375"/>
              </w:trPr>
              <w:tc>
                <w:tcPr>
                  <w:tcW w:w="2580" w:type="dxa"/>
                  <w:shd w:val="clear" w:color="auto" w:fill="auto"/>
                </w:tcPr>
                <w:p w:rsidR="00DD7F60" w:rsidRPr="00F2050A" w:rsidRDefault="00132AA4" w:rsidP="00484150">
                  <w:r w:rsidRPr="00132AA4">
                    <w:t>Порядок оплаты по договору</w:t>
                  </w:r>
                </w:p>
              </w:tc>
              <w:tc>
                <w:tcPr>
                  <w:tcW w:w="1276" w:type="dxa"/>
                  <w:shd w:val="clear" w:color="auto" w:fill="auto"/>
                </w:tcPr>
                <w:p w:rsidR="00DD7F60" w:rsidRPr="00F2050A" w:rsidRDefault="000A3989" w:rsidP="00484150">
                  <w:r>
                    <w:t>7</w:t>
                  </w:r>
                  <w:r w:rsidR="00DD7F60" w:rsidRPr="00F2050A">
                    <w:t>%</w:t>
                  </w:r>
                </w:p>
              </w:tc>
              <w:tc>
                <w:tcPr>
                  <w:tcW w:w="3685" w:type="dxa"/>
                  <w:shd w:val="clear" w:color="auto" w:fill="auto"/>
                </w:tcPr>
                <w:p w:rsidR="0006453C" w:rsidRPr="000734B7" w:rsidRDefault="00876EE1" w:rsidP="0006453C">
                  <w:pPr>
                    <w:jc w:val="both"/>
                  </w:pPr>
                  <w:r w:rsidRPr="000734B7">
                    <w:t xml:space="preserve">Оценивается согласие участника закупки на следующий порядок оплаты:  </w:t>
                  </w:r>
                </w:p>
                <w:p w:rsidR="0006453C" w:rsidRPr="000734B7" w:rsidRDefault="0006453C" w:rsidP="00A3542E">
                  <w:pPr>
                    <w:ind w:right="34"/>
                    <w:jc w:val="both"/>
                  </w:pPr>
                  <w:r w:rsidRPr="000734B7">
                    <w:t>«</w:t>
                  </w:r>
                  <w:r w:rsidR="000734B7" w:rsidRPr="000734B7">
                    <w:rPr>
                      <w:i/>
                    </w:rPr>
                    <w:t xml:space="preserve">Оплата выполненных Работ, а также поставленного товара по настоящему Договору в размере 100 % производится </w:t>
                  </w:r>
                  <w:r w:rsidR="00132AA4" w:rsidRPr="00132AA4">
                    <w:rPr>
                      <w:i/>
                    </w:rPr>
                    <w:t>Подрядчиком</w:t>
                  </w:r>
                  <w:r w:rsidR="000734B7" w:rsidRPr="000734B7">
                    <w:rPr>
                      <w:i/>
                    </w:rPr>
                    <w:t xml:space="preserve"> в течение 30(тридцати) календарных дней с момента получения оригинала счета, выставляемого </w:t>
                  </w:r>
                  <w:r w:rsidR="004A192A">
                    <w:rPr>
                      <w:i/>
                    </w:rPr>
                    <w:t>Субп</w:t>
                  </w:r>
                  <w:r w:rsidR="000734B7" w:rsidRPr="000734B7">
                    <w:rPr>
                      <w:i/>
                    </w:rPr>
                    <w:t>одрядчиком</w:t>
                  </w:r>
                  <w:r w:rsidR="004A192A">
                    <w:rPr>
                      <w:i/>
                    </w:rPr>
                    <w:t xml:space="preserve"> </w:t>
                  </w:r>
                  <w:r w:rsidR="000734B7" w:rsidRPr="000734B7">
                    <w:rPr>
                      <w:i/>
                    </w:rPr>
                    <w:t>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sdt>
                    <w:sdtPr>
                      <w:rPr>
                        <w:i/>
                      </w:rPr>
                      <w:alias w:val="Функции оплаты"/>
                      <w:tag w:val="Функции оплаты"/>
                      <w:id w:val="11669186"/>
                      <w:placeholder>
                        <w:docPart w:val="CF8B31551E59481DB6B41C089FDC4240"/>
                      </w:placeholder>
                      <w:comboBox>
                        <w:listItem w:displayText="подписания настоящего Договора - в полном объеме." w:value="подписания настоящего Договора - в полном объеме."/>
                        <w:listItem w:displayText="подписания настоящего Договора - в размере 30%, и в течение 5 (пяти) рабочих дней с момента поставки Товара - в размере оставшихся 70%." w:value="подписания настоящего Договора - в размере 30%, и в течение 5 (пяти) рабочих дней с момента поставки Товара - в размере оставшихся 70%."/>
                        <w:listItem w:displayText="подписания настоящего Договора - в размере 50%, и в течение 5 (пяти) рабочих дней с момента поставки Товара - в размере оставшихся 50%." w:value="подписания настоящего Договора - в размере 50%, и в течение 5 (пяти) рабочих дней с момента поставки Товара - в размере оставшихся 50%."/>
                        <w:listItem w:displayText="поставки Товара - в полном размере." w:value="поставки Товара - в полном размере."/>
                      </w:comboBox>
                    </w:sdtPr>
                    <w:sdtEndPr/>
                    <w:sdtContent>
                      <w:r w:rsidRPr="000734B7">
                        <w:rPr>
                          <w:i/>
                        </w:rPr>
                        <w:t>».</w:t>
                      </w:r>
                    </w:sdtContent>
                  </w:sdt>
                </w:p>
                <w:p w:rsidR="00DD7F60" w:rsidRPr="002A2573" w:rsidRDefault="00876EE1" w:rsidP="0006453C">
                  <w:pPr>
                    <w:jc w:val="both"/>
                    <w:rPr>
                      <w:highlight w:val="yellow"/>
                    </w:rPr>
                  </w:pPr>
                  <w:r w:rsidRPr="000734B7">
                    <w:t xml:space="preserve"> </w:t>
                  </w:r>
                  <w:r w:rsidR="0006453C" w:rsidRPr="000734B7">
                    <w:t>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3542E" w:rsidRDefault="00A27D60" w:rsidP="003B25CB">
            <w:pPr>
              <w:pStyle w:val="rvps9"/>
              <w:ind w:firstLine="459"/>
              <w:rPr>
                <w:color w:val="000000"/>
              </w:rPr>
            </w:pPr>
            <w:r>
              <w:rPr>
                <w:bCs/>
              </w:rPr>
              <w:t>О</w:t>
            </w:r>
            <w:r w:rsidRPr="00E63AC9">
              <w:rPr>
                <w:bCs/>
              </w:rPr>
              <w:t xml:space="preserve">ценка и сопоставление заявок на участие в </w:t>
            </w:r>
            <w:r>
              <w:rPr>
                <w:color w:val="000000"/>
              </w:rPr>
              <w:t>закупке</w:t>
            </w:r>
          </w:p>
          <w:p w:rsidR="00A3542E" w:rsidRDefault="00A3542E" w:rsidP="00A3542E">
            <w:pPr>
              <w:pStyle w:val="rvps9"/>
              <w:rPr>
                <w:color w:val="000000"/>
              </w:rPr>
            </w:pPr>
          </w:p>
          <w:p w:rsidR="00A27D60" w:rsidRDefault="00A27D60" w:rsidP="00A3542E">
            <w:pPr>
              <w:pStyle w:val="rvps9"/>
            </w:pPr>
            <w:r w:rsidRPr="00E63AC9">
              <w:rPr>
                <w:bCs/>
              </w:rPr>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lastRenderedPageBreak/>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4E99" w:rsidRDefault="001745AF" w:rsidP="001745AF">
            <w:pPr>
              <w:autoSpaceDE w:val="0"/>
              <w:autoSpaceDN w:val="0"/>
              <w:adjustRightInd w:val="0"/>
              <w:jc w:val="both"/>
            </w:pPr>
            <w:r w:rsidRPr="007D0443">
              <w:rPr>
                <w:rFonts w:eastAsia="Calibri"/>
                <w:iCs/>
                <w:color w:val="000000"/>
              </w:rPr>
              <w:t xml:space="preserve">Место выполнения работ: </w:t>
            </w:r>
            <w:r w:rsidR="00F01B55">
              <w:rPr>
                <w:rFonts w:eastAsia="Calibri"/>
                <w:iCs/>
                <w:color w:val="000000"/>
              </w:rPr>
              <w:t>о</w:t>
            </w:r>
            <w:r w:rsidRPr="007D0443">
              <w:t xml:space="preserve">пределяется </w:t>
            </w:r>
            <w:r w:rsidR="00494E99">
              <w:t>Приложением №</w:t>
            </w:r>
            <w:r w:rsidR="00494E99" w:rsidRPr="00494E99">
              <w:t>№ 1.1., 2 к  Документации о закупке.</w:t>
            </w:r>
          </w:p>
          <w:p w:rsidR="001745AF" w:rsidRPr="00A57497" w:rsidRDefault="001745AF" w:rsidP="001745AF">
            <w:pPr>
              <w:autoSpaceDE w:val="0"/>
              <w:autoSpaceDN w:val="0"/>
              <w:adjustRightInd w:val="0"/>
              <w:jc w:val="both"/>
            </w:pPr>
            <w:r w:rsidRPr="00972152">
              <w:t xml:space="preserve">Условия </w:t>
            </w:r>
            <w:r>
              <w:rPr>
                <w:rFonts w:eastAsia="Calibri"/>
                <w:iCs/>
                <w:color w:val="000000"/>
              </w:rPr>
              <w:t>выполнения работ</w:t>
            </w:r>
            <w:r w:rsidR="000734B7">
              <w:rPr>
                <w:rFonts w:eastAsia="Calibri"/>
                <w:iCs/>
                <w:color w:val="000000"/>
              </w:rPr>
              <w:t>, поставки товара</w:t>
            </w:r>
            <w:r w:rsidRPr="00972152">
              <w:t xml:space="preserve"> определены в Приложениях №№ </w:t>
            </w:r>
            <w:r>
              <w:t>1</w:t>
            </w:r>
            <w:r w:rsidR="000734B7">
              <w:t>.1</w:t>
            </w:r>
            <w:r>
              <w:t>,</w:t>
            </w:r>
            <w:r w:rsidR="000734B7">
              <w:t xml:space="preserve"> 1.2.,</w:t>
            </w:r>
            <w:r>
              <w:t xml:space="preserve"> </w:t>
            </w:r>
            <w:r w:rsidRPr="00972152">
              <w:t xml:space="preserve">2 </w:t>
            </w:r>
            <w:r w:rsidRPr="00FC20A7">
              <w:t xml:space="preserve">к </w:t>
            </w:r>
            <w:r w:rsidRPr="00A57497">
              <w:t>Документации о закупке.</w:t>
            </w:r>
          </w:p>
          <w:p w:rsidR="0014229A" w:rsidRPr="00F84878" w:rsidRDefault="001745AF" w:rsidP="000A3989">
            <w:pPr>
              <w:pStyle w:val="Default"/>
              <w:jc w:val="both"/>
            </w:pPr>
            <w:r>
              <w:t xml:space="preserve">Сроки </w:t>
            </w:r>
            <w:r w:rsidR="000A3989">
              <w:t>вы</w:t>
            </w:r>
            <w:r>
              <w:t>полнени</w:t>
            </w:r>
            <w:r w:rsidR="000A3989">
              <w:t>я</w:t>
            </w:r>
            <w:r>
              <w:t xml:space="preserve"> о</w:t>
            </w:r>
            <w:r w:rsidRPr="007D0443">
              <w:t>пределя</w:t>
            </w:r>
            <w:r>
              <w:t>ю</w:t>
            </w:r>
            <w:r w:rsidRPr="007D0443">
              <w:t xml:space="preserve">тся </w:t>
            </w:r>
            <w:r>
              <w:rPr>
                <w:rFonts w:eastAsia="Times New Roman"/>
                <w:lang w:eastAsia="ru-RU"/>
              </w:rPr>
              <w:t xml:space="preserve">Техническим </w:t>
            </w:r>
            <w:r w:rsidRPr="007D0443">
              <w:rPr>
                <w:rFonts w:eastAsia="Times New Roman"/>
                <w:lang w:eastAsia="ru-RU"/>
              </w:rPr>
              <w:t>заданием (Приложение №1</w:t>
            </w:r>
            <w:r w:rsidR="000734B7">
              <w:rPr>
                <w:rFonts w:eastAsia="Times New Roman"/>
                <w:lang w:eastAsia="ru-RU"/>
              </w:rPr>
              <w:t>.1.</w:t>
            </w:r>
            <w:r>
              <w:rPr>
                <w:rFonts w:eastAsia="Times New Roman"/>
                <w:lang w:eastAsia="ru-RU"/>
              </w:rPr>
              <w:t xml:space="preserve"> </w:t>
            </w:r>
            <w:r w:rsidRPr="007D0443">
              <w:rPr>
                <w:rFonts w:eastAsia="Times New Roman"/>
                <w:lang w:eastAsia="ru-RU"/>
              </w:rPr>
              <w:t>к Документации о закупке)</w:t>
            </w:r>
            <w:r w:rsidR="000A3989">
              <w:rPr>
                <w:rFonts w:eastAsia="Times New Roman"/>
                <w:lang w:eastAsia="ru-RU"/>
              </w:rPr>
              <w:t xml:space="preserve"> и условиями договора (Приложение № 2 к Документации о закупке)</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6453C" w:rsidP="00764E97">
            <w:pPr>
              <w:pStyle w:val="ad"/>
              <w:spacing w:before="0" w:beforeAutospacing="0" w:after="0" w:afterAutospacing="0"/>
              <w:ind w:left="317"/>
              <w:jc w:val="both"/>
            </w:pPr>
            <w:r>
              <w:t>Не требуется</w:t>
            </w: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0734B7">
              <w:fldChar w:fldCharType="begin"/>
            </w:r>
            <w:r w:rsidR="000734B7">
              <w:instrText xml:space="preserve"> REF _Ref378109129 \r \h  \* MERGEFORMAT </w:instrText>
            </w:r>
            <w:r w:rsidR="000734B7">
              <w:fldChar w:fldCharType="separate"/>
            </w:r>
            <w:r w:rsidR="00D95163">
              <w:t>15</w:t>
            </w:r>
            <w:r w:rsidR="000734B7">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0734B7">
              <w:fldChar w:fldCharType="begin"/>
            </w:r>
            <w:r w:rsidR="000734B7">
              <w:instrText xml:space="preserve"> REF _Ref378853304 \r \h  \* MERGEFORMAT </w:instrText>
            </w:r>
            <w:r w:rsidR="000734B7">
              <w:fldChar w:fldCharType="separate"/>
            </w:r>
            <w:r w:rsidR="00D95163">
              <w:t>14</w:t>
            </w:r>
            <w:r w:rsidR="000734B7">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0734B7">
              <w:t xml:space="preserve">Спецификация (Приложение № 1.2. к Документации о закупке) </w:t>
            </w:r>
            <w:r w:rsidR="00A02B2E" w:rsidRPr="00B6603B">
              <w:t>(указанный документ также обязательно долж</w:t>
            </w:r>
            <w:r w:rsidR="00484150" w:rsidRPr="00B6603B">
              <w:t>ен</w:t>
            </w:r>
            <w:r w:rsidR="00484150">
              <w:t xml:space="preserve">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0734B7">
              <w:fldChar w:fldCharType="begin"/>
            </w:r>
            <w:r w:rsidR="000734B7">
              <w:instrText xml:space="preserve"> REF _Ref378853453 \r \h  \* MERGEFORMAT </w:instrText>
            </w:r>
            <w:r w:rsidR="000734B7">
              <w:fldChar w:fldCharType="separate"/>
            </w:r>
            <w:r w:rsidR="00D95163">
              <w:t>12</w:t>
            </w:r>
            <w:r w:rsidR="000734B7">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0734B7">
              <w:fldChar w:fldCharType="begin"/>
            </w:r>
            <w:r w:rsidR="000734B7">
              <w:instrText xml:space="preserve"> REF _Ref378109129 \r \h  \* MERGEFORMAT </w:instrText>
            </w:r>
            <w:r w:rsidR="000734B7">
              <w:fldChar w:fldCharType="separate"/>
            </w:r>
            <w:r w:rsidR="00D95163">
              <w:t>15</w:t>
            </w:r>
            <w:r w:rsidR="000734B7">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0734B7">
              <w:fldChar w:fldCharType="begin"/>
            </w:r>
            <w:r w:rsidR="000734B7">
              <w:instrText xml:space="preserve"> REF _Ref378109129 \r \h  \* MERGEFORMAT </w:instrText>
            </w:r>
            <w:r w:rsidR="000734B7">
              <w:fldChar w:fldCharType="separate"/>
            </w:r>
            <w:r w:rsidR="00D95163">
              <w:t>15</w:t>
            </w:r>
            <w:r w:rsidR="000734B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0734B7">
              <w:fldChar w:fldCharType="begin"/>
            </w:r>
            <w:r w:rsidR="000734B7">
              <w:instrText xml:space="preserve"> REF _Ref378107245 \r \h  \* MERGEFORMAT </w:instrText>
            </w:r>
            <w:r w:rsidR="000734B7">
              <w:fldChar w:fldCharType="separate"/>
            </w:r>
            <w:r w:rsidR="00D95163">
              <w:t>8</w:t>
            </w:r>
            <w:r w:rsidR="000734B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0734B7">
              <w:fldChar w:fldCharType="begin"/>
            </w:r>
            <w:r w:rsidR="000734B7">
              <w:instrText xml:space="preserve"> REF _Ref378853304 \r \h  \* MERGEFORMAT </w:instrText>
            </w:r>
            <w:r w:rsidR="000734B7">
              <w:fldChar w:fldCharType="separate"/>
            </w:r>
            <w:r w:rsidR="00D95163">
              <w:t>14</w:t>
            </w:r>
            <w:r w:rsidR="000734B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0D696F" w:rsidRDefault="004A192A" w:rsidP="009A1B77">
            <w:pPr>
              <w:ind w:firstLine="709"/>
              <w:jc w:val="both"/>
              <w:rPr>
                <w:lang w:eastAsia="ar-SA"/>
              </w:rPr>
            </w:pPr>
            <w:r>
              <w:rPr>
                <w:lang w:eastAsia="ar-SA"/>
              </w:rPr>
              <w:t xml:space="preserve">Предусмотрены разделом </w:t>
            </w:r>
            <w:r w:rsidR="009A1B77">
              <w:rPr>
                <w:lang w:eastAsia="ar-SA"/>
              </w:rPr>
              <w:t>3 проекта</w:t>
            </w:r>
            <w:r>
              <w:rPr>
                <w:lang w:eastAsia="ar-SA"/>
              </w:rPr>
              <w:t xml:space="preserve"> договора (приложение № 2 к Документации о закупке)</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0734B7">
        <w:t>.1</w:t>
      </w:r>
      <w:r w:rsidR="00DD2B01">
        <w:t xml:space="preserve"> </w:t>
      </w:r>
      <w:r w:rsidR="00764E97" w:rsidRPr="00FC20A7">
        <w:t>к Документации о закупке</w:t>
      </w:r>
      <w:r w:rsidR="00764E97" w:rsidRPr="00972152">
        <w:t>)</w:t>
      </w:r>
      <w:r w:rsidR="00764E97">
        <w:t>,</w:t>
      </w:r>
      <w:r w:rsidR="000734B7">
        <w:t xml:space="preserve">Спецификация </w:t>
      </w:r>
      <w:r w:rsidR="000734B7" w:rsidRPr="00972152">
        <w:t>Приложение №</w:t>
      </w:r>
      <w:r w:rsidR="000734B7">
        <w:t xml:space="preserve">1.2 </w:t>
      </w:r>
      <w:r w:rsidR="000734B7" w:rsidRPr="00FC20A7">
        <w:t>к Документации о закупке</w:t>
      </w:r>
      <w:r w:rsidR="000734B7" w:rsidRPr="00972152">
        <w:t>)</w:t>
      </w:r>
      <w:r w:rsidR="000734B7">
        <w:t>,</w:t>
      </w:r>
      <w:r w:rsidR="00764E97">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49C" w:rsidRDefault="006B149C" w:rsidP="0014229A">
      <w:r>
        <w:separator/>
      </w:r>
    </w:p>
  </w:endnote>
  <w:endnote w:type="continuationSeparator" w:id="0">
    <w:p w:rsidR="006B149C" w:rsidRDefault="006B149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49C" w:rsidRDefault="006B149C" w:rsidP="0014229A">
      <w:r>
        <w:separator/>
      </w:r>
    </w:p>
  </w:footnote>
  <w:footnote w:type="continuationSeparator" w:id="0">
    <w:p w:rsidR="006B149C" w:rsidRDefault="006B149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4B7" w:rsidRDefault="000734B7">
    <w:pPr>
      <w:pStyle w:val="a6"/>
      <w:jc w:val="center"/>
    </w:pPr>
    <w:r>
      <w:fldChar w:fldCharType="begin"/>
    </w:r>
    <w:r>
      <w:instrText>PAGE   \* MERGEFORMAT</w:instrText>
    </w:r>
    <w:r>
      <w:fldChar w:fldCharType="separate"/>
    </w:r>
    <w:r w:rsidR="00D95163">
      <w:rPr>
        <w:noProof/>
      </w:rPr>
      <w:t>1</w:t>
    </w:r>
    <w:r>
      <w:rPr>
        <w:noProof/>
      </w:rPr>
      <w:fldChar w:fldCharType="end"/>
    </w:r>
  </w:p>
  <w:p w:rsidR="000734B7" w:rsidRDefault="000734B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6930524"/>
    <w:multiLevelType w:val="multilevel"/>
    <w:tmpl w:val="AB7E6F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1DCD"/>
    <w:rsid w:val="00022E58"/>
    <w:rsid w:val="00044527"/>
    <w:rsid w:val="00055701"/>
    <w:rsid w:val="00061740"/>
    <w:rsid w:val="0006453C"/>
    <w:rsid w:val="000734B7"/>
    <w:rsid w:val="00093E9C"/>
    <w:rsid w:val="000A3989"/>
    <w:rsid w:val="000A4ECA"/>
    <w:rsid w:val="000D6510"/>
    <w:rsid w:val="000D696F"/>
    <w:rsid w:val="000E37D3"/>
    <w:rsid w:val="000F007A"/>
    <w:rsid w:val="000F4823"/>
    <w:rsid w:val="000F7BA5"/>
    <w:rsid w:val="0011128C"/>
    <w:rsid w:val="00132AA4"/>
    <w:rsid w:val="0014229A"/>
    <w:rsid w:val="00155152"/>
    <w:rsid w:val="00160C36"/>
    <w:rsid w:val="001641FA"/>
    <w:rsid w:val="001745AF"/>
    <w:rsid w:val="001B4383"/>
    <w:rsid w:val="001D7DA3"/>
    <w:rsid w:val="0026485E"/>
    <w:rsid w:val="00275958"/>
    <w:rsid w:val="0027614A"/>
    <w:rsid w:val="00284A33"/>
    <w:rsid w:val="002A2573"/>
    <w:rsid w:val="002F3908"/>
    <w:rsid w:val="002F7A1D"/>
    <w:rsid w:val="00314D52"/>
    <w:rsid w:val="0032055F"/>
    <w:rsid w:val="0033356E"/>
    <w:rsid w:val="0034359C"/>
    <w:rsid w:val="00355EFE"/>
    <w:rsid w:val="00373528"/>
    <w:rsid w:val="00393AC3"/>
    <w:rsid w:val="003B25CB"/>
    <w:rsid w:val="003B6396"/>
    <w:rsid w:val="003C287D"/>
    <w:rsid w:val="003C5771"/>
    <w:rsid w:val="003C6DB1"/>
    <w:rsid w:val="003E20D7"/>
    <w:rsid w:val="003E2E6B"/>
    <w:rsid w:val="003E3508"/>
    <w:rsid w:val="003E406F"/>
    <w:rsid w:val="003E6AF2"/>
    <w:rsid w:val="003F58A5"/>
    <w:rsid w:val="00401F71"/>
    <w:rsid w:val="00411612"/>
    <w:rsid w:val="0043434A"/>
    <w:rsid w:val="00484150"/>
    <w:rsid w:val="00494E99"/>
    <w:rsid w:val="004A192A"/>
    <w:rsid w:val="004B7ED5"/>
    <w:rsid w:val="004C05AA"/>
    <w:rsid w:val="004E2BF7"/>
    <w:rsid w:val="00552448"/>
    <w:rsid w:val="005717E2"/>
    <w:rsid w:val="00571F1F"/>
    <w:rsid w:val="00574643"/>
    <w:rsid w:val="005770DA"/>
    <w:rsid w:val="00580C36"/>
    <w:rsid w:val="0058706C"/>
    <w:rsid w:val="00591BD4"/>
    <w:rsid w:val="005A0857"/>
    <w:rsid w:val="005A12D2"/>
    <w:rsid w:val="005A5788"/>
    <w:rsid w:val="005A6DC3"/>
    <w:rsid w:val="005B0AB9"/>
    <w:rsid w:val="005C6DCB"/>
    <w:rsid w:val="005E779F"/>
    <w:rsid w:val="006023C7"/>
    <w:rsid w:val="006119BB"/>
    <w:rsid w:val="00634F92"/>
    <w:rsid w:val="006351F8"/>
    <w:rsid w:val="00660B32"/>
    <w:rsid w:val="006B149C"/>
    <w:rsid w:val="006C68ED"/>
    <w:rsid w:val="00712F06"/>
    <w:rsid w:val="00761639"/>
    <w:rsid w:val="00764E97"/>
    <w:rsid w:val="007816DF"/>
    <w:rsid w:val="007849F5"/>
    <w:rsid w:val="00797098"/>
    <w:rsid w:val="007B3737"/>
    <w:rsid w:val="007C17D3"/>
    <w:rsid w:val="007C5CB0"/>
    <w:rsid w:val="007C6F21"/>
    <w:rsid w:val="007D1DF9"/>
    <w:rsid w:val="007E0DDA"/>
    <w:rsid w:val="007E34B5"/>
    <w:rsid w:val="00804945"/>
    <w:rsid w:val="008239AB"/>
    <w:rsid w:val="00826D6C"/>
    <w:rsid w:val="0083262D"/>
    <w:rsid w:val="00841B29"/>
    <w:rsid w:val="00846365"/>
    <w:rsid w:val="00855472"/>
    <w:rsid w:val="00871603"/>
    <w:rsid w:val="00876EE1"/>
    <w:rsid w:val="0087734C"/>
    <w:rsid w:val="00892DC0"/>
    <w:rsid w:val="008A40EB"/>
    <w:rsid w:val="008A43E3"/>
    <w:rsid w:val="008C08EF"/>
    <w:rsid w:val="008C0E8C"/>
    <w:rsid w:val="008C6A98"/>
    <w:rsid w:val="008D0F33"/>
    <w:rsid w:val="008E6DEC"/>
    <w:rsid w:val="008F2EB6"/>
    <w:rsid w:val="00945B7A"/>
    <w:rsid w:val="00963B5A"/>
    <w:rsid w:val="009A1B77"/>
    <w:rsid w:val="009A662F"/>
    <w:rsid w:val="009F05CF"/>
    <w:rsid w:val="009F777B"/>
    <w:rsid w:val="00A02B2E"/>
    <w:rsid w:val="00A0524C"/>
    <w:rsid w:val="00A27D60"/>
    <w:rsid w:val="00A3542E"/>
    <w:rsid w:val="00A362A1"/>
    <w:rsid w:val="00A37ADA"/>
    <w:rsid w:val="00A64F7F"/>
    <w:rsid w:val="00A667E3"/>
    <w:rsid w:val="00A91F15"/>
    <w:rsid w:val="00AB0FBA"/>
    <w:rsid w:val="00AC38A7"/>
    <w:rsid w:val="00B037D1"/>
    <w:rsid w:val="00B16FD3"/>
    <w:rsid w:val="00B21CC5"/>
    <w:rsid w:val="00B266B1"/>
    <w:rsid w:val="00B6603B"/>
    <w:rsid w:val="00B74439"/>
    <w:rsid w:val="00BA140C"/>
    <w:rsid w:val="00BA27B3"/>
    <w:rsid w:val="00BB560C"/>
    <w:rsid w:val="00BE1579"/>
    <w:rsid w:val="00C327CC"/>
    <w:rsid w:val="00C32B40"/>
    <w:rsid w:val="00C40B19"/>
    <w:rsid w:val="00C56AC0"/>
    <w:rsid w:val="00C675FE"/>
    <w:rsid w:val="00C72445"/>
    <w:rsid w:val="00C77202"/>
    <w:rsid w:val="00C913F1"/>
    <w:rsid w:val="00C94225"/>
    <w:rsid w:val="00CB6832"/>
    <w:rsid w:val="00D21081"/>
    <w:rsid w:val="00D37E5A"/>
    <w:rsid w:val="00D4565D"/>
    <w:rsid w:val="00D94587"/>
    <w:rsid w:val="00D95163"/>
    <w:rsid w:val="00DB625A"/>
    <w:rsid w:val="00DC2D28"/>
    <w:rsid w:val="00DD2B01"/>
    <w:rsid w:val="00DD7F60"/>
    <w:rsid w:val="00DE1ABA"/>
    <w:rsid w:val="00DE7630"/>
    <w:rsid w:val="00DF5A81"/>
    <w:rsid w:val="00E25078"/>
    <w:rsid w:val="00E27E53"/>
    <w:rsid w:val="00E32EFF"/>
    <w:rsid w:val="00E50754"/>
    <w:rsid w:val="00E6328B"/>
    <w:rsid w:val="00E74D2C"/>
    <w:rsid w:val="00E9498C"/>
    <w:rsid w:val="00EA1830"/>
    <w:rsid w:val="00EB346C"/>
    <w:rsid w:val="00EC2308"/>
    <w:rsid w:val="00EC79E6"/>
    <w:rsid w:val="00ED7BA7"/>
    <w:rsid w:val="00EF33D2"/>
    <w:rsid w:val="00F01B55"/>
    <w:rsid w:val="00F11C24"/>
    <w:rsid w:val="00F135C3"/>
    <w:rsid w:val="00F13CAC"/>
    <w:rsid w:val="00F17D4A"/>
    <w:rsid w:val="00F265E7"/>
    <w:rsid w:val="00F34D70"/>
    <w:rsid w:val="00F4064D"/>
    <w:rsid w:val="00F51EAF"/>
    <w:rsid w:val="00F57712"/>
    <w:rsid w:val="00F65720"/>
    <w:rsid w:val="00F71B15"/>
    <w:rsid w:val="00F71D87"/>
    <w:rsid w:val="00F73A3E"/>
    <w:rsid w:val="00F80EC1"/>
    <w:rsid w:val="00F8370A"/>
    <w:rsid w:val="00F878C4"/>
    <w:rsid w:val="00F961B1"/>
    <w:rsid w:val="00FD5668"/>
    <w:rsid w:val="00FE3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40AC1-50EE-475C-9206-E0B575C5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customStyle="1" w:styleId="affb">
    <w:name w:val="Подподпункт"/>
    <w:basedOn w:val="a"/>
    <w:link w:val="affc"/>
    <w:rsid w:val="005A5788"/>
    <w:pPr>
      <w:numPr>
        <w:ilvl w:val="4"/>
      </w:numPr>
      <w:tabs>
        <w:tab w:val="num" w:pos="1135"/>
      </w:tabs>
      <w:spacing w:line="360" w:lineRule="auto"/>
      <w:ind w:left="1135" w:hanging="567"/>
      <w:jc w:val="both"/>
    </w:pPr>
    <w:rPr>
      <w:snapToGrid w:val="0"/>
      <w:sz w:val="28"/>
      <w:szCs w:val="20"/>
    </w:rPr>
  </w:style>
  <w:style w:type="character" w:customStyle="1" w:styleId="affc">
    <w:name w:val="Подподпункт Знак"/>
    <w:link w:val="affb"/>
    <w:rsid w:val="005A5788"/>
    <w:rPr>
      <w:rFonts w:ascii="Times New Roman" w:eastAsia="Times New Roman" w:hAnsi="Times New Roman" w:cs="Times New Roman"/>
      <w:snapToGrid w:val="0"/>
      <w:sz w:val="28"/>
      <w:szCs w:val="20"/>
      <w:lang w:eastAsia="ru-RU"/>
    </w:rPr>
  </w:style>
  <w:style w:type="character" w:customStyle="1" w:styleId="affd">
    <w:name w:val="Стиль вставки"/>
    <w:basedOn w:val="a0"/>
    <w:uiPriority w:val="1"/>
    <w:qFormat/>
    <w:rsid w:val="0006453C"/>
    <w:rPr>
      <w:rFonts w:ascii="Tahoma" w:hAnsi="Tahoma"/>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fatikhov@bashtel.ru"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F8B31551E59481DB6B41C089FDC4240"/>
        <w:category>
          <w:name w:val="Общие"/>
          <w:gallery w:val="placeholder"/>
        </w:category>
        <w:types>
          <w:type w:val="bbPlcHdr"/>
        </w:types>
        <w:behaviors>
          <w:behavior w:val="content"/>
        </w:behaviors>
        <w:guid w:val="{81395448-A4A8-4E22-894D-8CADB33B0CDD}"/>
      </w:docPartPr>
      <w:docPartBody>
        <w:p w:rsidR="001D61B5" w:rsidRDefault="00D0667A" w:rsidP="00D0667A">
          <w:pPr>
            <w:pStyle w:val="CF8B31551E59481DB6B41C089FDC4240"/>
          </w:pPr>
          <w:r>
            <w:rPr>
              <w:rFonts w:ascii="Tahoma" w:hAnsi="Tahoma" w:cs="Tahoma"/>
              <w:b/>
              <w:color w:val="FF0000"/>
              <w:sz w:val="20"/>
              <w:szCs w:val="20"/>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D0667A"/>
    <w:rsid w:val="001D61B5"/>
    <w:rsid w:val="00237563"/>
    <w:rsid w:val="00340D81"/>
    <w:rsid w:val="00807503"/>
    <w:rsid w:val="00D0667A"/>
    <w:rsid w:val="00F7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E358392EE6B447C9286D864233350DB">
    <w:name w:val="2E358392EE6B447C9286D864233350DB"/>
    <w:rsid w:val="00D0667A"/>
  </w:style>
  <w:style w:type="paragraph" w:customStyle="1" w:styleId="CF8B31551E59481DB6B41C089FDC4240">
    <w:name w:val="CF8B31551E59481DB6B41C089FDC4240"/>
    <w:rsid w:val="00D066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D0987-5F89-42A9-9D0B-C840DE8B1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22</Pages>
  <Words>8314</Words>
  <Characters>47396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68</cp:revision>
  <cp:lastPrinted>2016-07-15T05:57:00Z</cp:lastPrinted>
  <dcterms:created xsi:type="dcterms:W3CDTF">2015-10-07T04:10:00Z</dcterms:created>
  <dcterms:modified xsi:type="dcterms:W3CDTF">2016-07-15T05:57:00Z</dcterms:modified>
</cp:coreProperties>
</file>